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C422" w14:textId="1F86B076" w:rsidR="001E6ABA" w:rsidRPr="00851557" w:rsidRDefault="001E6ABA" w:rsidP="00851557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202124"/>
          <w:sz w:val="42"/>
          <w:szCs w:val="42"/>
          <w:lang w:val="en-NZ" w:eastAsia="en-NZ"/>
        </w:rPr>
      </w:pPr>
      <w:proofErr w:type="spellStart"/>
      <w:r>
        <w:rPr>
          <w:rFonts w:cstheme="minorHAnsi"/>
          <w:b/>
          <w:bCs/>
          <w:iCs/>
          <w:sz w:val="24"/>
          <w:szCs w:val="24"/>
        </w:rPr>
        <w:t>Communiqu</w:t>
      </w:r>
      <w:proofErr w:type="spellEnd"/>
      <w:r w:rsidR="00187A5A" w:rsidRPr="00187A5A">
        <w:rPr>
          <w:rFonts w:eastAsia="Times New Roman" w:cstheme="minorHAnsi"/>
          <w:b/>
          <w:color w:val="202124"/>
          <w:sz w:val="24"/>
          <w:szCs w:val="24"/>
          <w:lang w:val="en-NZ" w:eastAsia="en-NZ"/>
        </w:rPr>
        <w:t>é</w:t>
      </w:r>
      <w:r w:rsidR="00187A5A">
        <w:rPr>
          <w:rFonts w:eastAsia="Times New Roman" w:cstheme="minorHAnsi"/>
          <w:b/>
          <w:color w:val="202124"/>
          <w:sz w:val="24"/>
          <w:szCs w:val="24"/>
          <w:lang w:val="en-NZ" w:eastAsia="en-NZ"/>
        </w:rPr>
        <w:t xml:space="preserve"> </w:t>
      </w:r>
      <w:r>
        <w:rPr>
          <w:rFonts w:cstheme="minorHAnsi"/>
          <w:b/>
          <w:bCs/>
          <w:iCs/>
          <w:sz w:val="24"/>
          <w:szCs w:val="24"/>
        </w:rPr>
        <w:t xml:space="preserve">of the </w:t>
      </w:r>
      <w:r w:rsidR="00031ED2" w:rsidRPr="001E6ABA">
        <w:rPr>
          <w:rFonts w:cstheme="minorHAnsi"/>
          <w:b/>
          <w:bCs/>
          <w:iCs/>
          <w:sz w:val="24"/>
          <w:szCs w:val="24"/>
        </w:rPr>
        <w:t>Association of Information Access Commissioners</w:t>
      </w:r>
      <w:r w:rsidR="007D7737" w:rsidRPr="001E6ABA">
        <w:rPr>
          <w:rFonts w:cstheme="minorHAnsi"/>
          <w:b/>
          <w:bCs/>
          <w:iCs/>
          <w:sz w:val="24"/>
          <w:szCs w:val="24"/>
        </w:rPr>
        <w:t xml:space="preserve"> </w:t>
      </w:r>
      <w:r w:rsidR="00252121">
        <w:rPr>
          <w:rFonts w:cstheme="minorHAnsi"/>
          <w:b/>
          <w:bCs/>
          <w:iCs/>
          <w:sz w:val="24"/>
          <w:szCs w:val="24"/>
        </w:rPr>
        <w:t>of Australia</w:t>
      </w:r>
      <w:r w:rsidR="00187A5A">
        <w:rPr>
          <w:rFonts w:cstheme="minorHAnsi"/>
          <w:b/>
          <w:bCs/>
          <w:iCs/>
          <w:sz w:val="24"/>
          <w:szCs w:val="24"/>
        </w:rPr>
        <w:t xml:space="preserve"> and </w:t>
      </w:r>
      <w:r w:rsidR="007D7737" w:rsidRPr="001E6ABA">
        <w:rPr>
          <w:rFonts w:cstheme="minorHAnsi"/>
          <w:b/>
          <w:bCs/>
          <w:iCs/>
          <w:sz w:val="24"/>
          <w:szCs w:val="24"/>
        </w:rPr>
        <w:t xml:space="preserve">New Zealand </w:t>
      </w:r>
      <w:r w:rsidRPr="001E6ABA">
        <w:rPr>
          <w:rFonts w:cstheme="minorHAnsi"/>
          <w:b/>
          <w:bCs/>
          <w:iCs/>
          <w:sz w:val="24"/>
          <w:szCs w:val="24"/>
        </w:rPr>
        <w:t>(AIAC)</w:t>
      </w:r>
      <w:r w:rsidR="00187A5A">
        <w:rPr>
          <w:rFonts w:cstheme="minorHAnsi"/>
          <w:b/>
          <w:bCs/>
          <w:iCs/>
          <w:sz w:val="24"/>
          <w:szCs w:val="24"/>
        </w:rPr>
        <w:t xml:space="preserve"> meeting</w:t>
      </w:r>
      <w:r w:rsidR="00851557">
        <w:rPr>
          <w:rFonts w:ascii="Arial" w:eastAsia="Times New Roman" w:hAnsi="Arial" w:cs="Arial"/>
          <w:color w:val="202124"/>
          <w:sz w:val="42"/>
          <w:szCs w:val="42"/>
          <w:lang w:val="en-NZ" w:eastAsia="en-NZ"/>
        </w:rPr>
        <w:t xml:space="preserve"> </w:t>
      </w:r>
      <w:r w:rsidRPr="001E6ABA">
        <w:rPr>
          <w:rFonts w:cstheme="minorHAnsi"/>
          <w:b/>
          <w:bCs/>
          <w:iCs/>
          <w:sz w:val="24"/>
          <w:szCs w:val="24"/>
        </w:rPr>
        <w:t>7 – 8 December 2022</w:t>
      </w:r>
      <w:r>
        <w:rPr>
          <w:rFonts w:cstheme="minorHAnsi"/>
          <w:b/>
          <w:bCs/>
          <w:iCs/>
          <w:sz w:val="24"/>
          <w:szCs w:val="24"/>
        </w:rPr>
        <w:t>, Wellington, New Zealand</w:t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</w:p>
    <w:p w14:paraId="1220E1CE" w14:textId="77777777" w:rsidR="00187A5A" w:rsidRPr="00851557" w:rsidRDefault="00187A5A" w:rsidP="007D7737">
      <w:pPr>
        <w:pStyle w:val="AnnualReporttext"/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FE48B3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Association of </w:t>
      </w:r>
      <w:r w:rsidR="004B1718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Information Access Commissioners </w:t>
      </w:r>
      <w:r w:rsidR="00206C7B" w:rsidRPr="00851557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206C7B" w:rsidRPr="00851557">
        <w:rPr>
          <w:rFonts w:asciiTheme="minorHAnsi" w:hAnsiTheme="minorHAnsi" w:cstheme="minorHAnsi"/>
          <w:b/>
          <w:bCs/>
          <w:sz w:val="22"/>
          <w:szCs w:val="22"/>
          <w:lang w:val="en-US"/>
        </w:rPr>
        <w:t>the AIAC</w:t>
      </w:r>
      <w:r w:rsidR="00206C7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="004B1718" w:rsidRPr="00851557">
        <w:rPr>
          <w:rFonts w:asciiTheme="minorHAnsi" w:hAnsiTheme="minorHAnsi" w:cstheme="minorHAnsi"/>
          <w:sz w:val="22"/>
          <w:szCs w:val="22"/>
          <w:lang w:val="en-US"/>
        </w:rPr>
        <w:t>met in Wellington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, New Zealand</w:t>
      </w:r>
      <w:r w:rsidR="00CD7ED7" w:rsidRPr="0085155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B1718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52121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on 7-8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December, for its</w:t>
      </w:r>
      <w:r w:rsidR="004B1718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se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cond bi-annual meeting of 2022</w:t>
      </w:r>
      <w:r w:rsidR="00CD7ED7" w:rsidRPr="0085155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0A76A8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hosted by New Zealand’s Chief Ombudsman, Peter Boshier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2835EFA" w14:textId="77777777" w:rsidR="004B1718" w:rsidRPr="00851557" w:rsidRDefault="00206C7B" w:rsidP="007D7737">
      <w:pPr>
        <w:pStyle w:val="AnnualReporttext"/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The AIAC is comprised of independent Information Commissioners and Ombudsmen of Australia and New Zealand who have </w:t>
      </w:r>
      <w:r w:rsidR="00E632D5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oversight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responsibilities</w:t>
      </w:r>
      <w:r w:rsidR="00252121" w:rsidRPr="0085155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632D5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under their respective state and national </w:t>
      </w:r>
      <w:r w:rsidR="00252121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jurisdictions, for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F8111D" w:rsidRPr="00851557">
        <w:rPr>
          <w:rFonts w:asciiTheme="minorHAnsi" w:hAnsiTheme="minorHAnsi" w:cstheme="minorHAnsi"/>
          <w:sz w:val="22"/>
          <w:szCs w:val="22"/>
          <w:lang w:val="en-US"/>
        </w:rPr>
        <w:t>ccess to government information</w:t>
      </w:r>
      <w:r w:rsidR="002578C1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laws</w:t>
      </w:r>
      <w:r w:rsidR="00F8111D" w:rsidRPr="0085155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4DF46B4" w14:textId="2B39DF8C" w:rsidR="00302925" w:rsidRPr="00851557" w:rsidRDefault="00A7083E" w:rsidP="007D7737">
      <w:pPr>
        <w:pStyle w:val="AnnualReporttext"/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>Members noted the event</w:t>
      </w:r>
      <w:r w:rsidR="00580C0E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marked </w:t>
      </w:r>
      <w:r w:rsidR="00FE48B3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40 </w:t>
      </w:r>
      <w:r w:rsidR="007D7737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years since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both </w:t>
      </w:r>
      <w:r w:rsidR="00E632D5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Australia and New Zealand introduced </w:t>
      </w:r>
      <w:r w:rsidR="00302925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what was then considered </w:t>
      </w:r>
      <w:r w:rsidR="00580C0E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revolutionary </w:t>
      </w:r>
      <w:r w:rsidRPr="00272136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580C0E" w:rsidRPr="00272136">
        <w:rPr>
          <w:rFonts w:asciiTheme="minorHAnsi" w:hAnsiTheme="minorHAnsi" w:cstheme="minorHAnsi"/>
          <w:sz w:val="22"/>
          <w:szCs w:val="22"/>
          <w:lang w:val="en-US"/>
        </w:rPr>
        <w:t xml:space="preserve">egislation </w:t>
      </w:r>
      <w:r w:rsidR="00ED386D" w:rsidRPr="00272136">
        <w:rPr>
          <w:rFonts w:asciiTheme="minorHAnsi" w:hAnsiTheme="minorHAnsi" w:cstheme="minorHAnsi"/>
          <w:sz w:val="22"/>
          <w:szCs w:val="22"/>
          <w:lang w:val="en-US"/>
        </w:rPr>
        <w:t>to promote our democratic principles of a participatory system of government that enables</w:t>
      </w:r>
      <w:r w:rsidR="003C0865">
        <w:rPr>
          <w:rFonts w:asciiTheme="minorHAnsi" w:hAnsiTheme="minorHAnsi" w:cstheme="minorHAnsi"/>
          <w:sz w:val="22"/>
          <w:szCs w:val="22"/>
          <w:lang w:val="en-US"/>
        </w:rPr>
        <w:t xml:space="preserve"> public a</w:t>
      </w:r>
      <w:r w:rsidR="00ED386D" w:rsidRPr="00272136">
        <w:rPr>
          <w:rFonts w:asciiTheme="minorHAnsi" w:hAnsiTheme="minorHAnsi" w:cstheme="minorHAnsi"/>
          <w:sz w:val="22"/>
          <w:szCs w:val="22"/>
          <w:lang w:val="en-US"/>
        </w:rPr>
        <w:t>ccess</w:t>
      </w:r>
      <w:r w:rsidR="002B0DAD">
        <w:rPr>
          <w:rFonts w:asciiTheme="minorHAnsi" w:hAnsiTheme="minorHAnsi" w:cstheme="minorHAnsi"/>
          <w:sz w:val="22"/>
          <w:szCs w:val="22"/>
          <w:lang w:val="en-US"/>
        </w:rPr>
        <w:t xml:space="preserve"> to</w:t>
      </w:r>
      <w:r w:rsidR="00ED386D" w:rsidRPr="00272136">
        <w:rPr>
          <w:rFonts w:asciiTheme="minorHAnsi" w:hAnsiTheme="minorHAnsi" w:cstheme="minorHAnsi"/>
          <w:sz w:val="22"/>
          <w:szCs w:val="22"/>
          <w:lang w:val="en-US"/>
        </w:rPr>
        <w:t xml:space="preserve"> government information.</w:t>
      </w:r>
    </w:p>
    <w:p w14:paraId="30DE0866" w14:textId="374E2808" w:rsidR="00ED386D" w:rsidRPr="00851557" w:rsidRDefault="00ED386D" w:rsidP="00ED386D">
      <w:pPr>
        <w:pStyle w:val="ng-bind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The introduction of these first information access laws in 1982 was game-changing for both countries.  </w:t>
      </w:r>
      <w:r w:rsidR="003C0865">
        <w:rPr>
          <w:rFonts w:asciiTheme="minorHAnsi" w:hAnsiTheme="minorHAnsi" w:cstheme="minorHAnsi"/>
          <w:sz w:val="22"/>
          <w:szCs w:val="22"/>
          <w:lang w:val="en-US"/>
        </w:rPr>
        <w:t>It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overturned the long-held presumption and default position of government secrecy that operated throughout much of the 20</w:t>
      </w:r>
      <w:r w:rsidRPr="0085155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century to one of availability.  </w:t>
      </w:r>
    </w:p>
    <w:p w14:paraId="4B41020B" w14:textId="50AB9DB3" w:rsidR="00AC64F1" w:rsidRPr="00272136" w:rsidRDefault="00AC64F1" w:rsidP="007D7737">
      <w:pPr>
        <w:pStyle w:val="AnnualReporttext"/>
        <w:rPr>
          <w:rFonts w:asciiTheme="minorHAnsi" w:hAnsiTheme="minorHAnsi" w:cstheme="minorHAnsi"/>
          <w:sz w:val="22"/>
          <w:szCs w:val="22"/>
          <w:lang w:val="en-US"/>
        </w:rPr>
      </w:pPr>
      <w:r w:rsidRPr="00272136">
        <w:rPr>
          <w:rFonts w:asciiTheme="minorHAnsi" w:hAnsiTheme="minorHAnsi" w:cstheme="minorHAnsi"/>
          <w:sz w:val="22"/>
          <w:szCs w:val="22"/>
          <w:lang w:val="en-US"/>
        </w:rPr>
        <w:t>In the 21</w:t>
      </w:r>
      <w:r w:rsidRPr="00272136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Pr="00272136">
        <w:rPr>
          <w:rFonts w:asciiTheme="minorHAnsi" w:hAnsiTheme="minorHAnsi" w:cstheme="minorHAnsi"/>
          <w:sz w:val="22"/>
          <w:szCs w:val="22"/>
          <w:lang w:val="en-US"/>
        </w:rPr>
        <w:t xml:space="preserve"> century the importance of g</w:t>
      </w:r>
      <w:r w:rsidR="00ED386D" w:rsidRPr="00272136">
        <w:rPr>
          <w:rFonts w:asciiTheme="minorHAnsi" w:hAnsiTheme="minorHAnsi" w:cstheme="minorHAnsi"/>
          <w:sz w:val="22"/>
          <w:szCs w:val="22"/>
          <w:lang w:val="en-US"/>
        </w:rPr>
        <w:t>overnment accountab</w:t>
      </w:r>
      <w:r w:rsidRPr="00272136">
        <w:rPr>
          <w:rFonts w:asciiTheme="minorHAnsi" w:hAnsiTheme="minorHAnsi" w:cstheme="minorHAnsi"/>
          <w:sz w:val="22"/>
          <w:szCs w:val="22"/>
          <w:lang w:val="en-US"/>
        </w:rPr>
        <w:t xml:space="preserve">ility has increased as we face unprecedented climatic and global health situations, increasingly interact with government through digital platforms and respond to </w:t>
      </w:r>
      <w:r w:rsidR="002B0DAD">
        <w:rPr>
          <w:rFonts w:asciiTheme="minorHAnsi" w:hAnsiTheme="minorHAnsi" w:cstheme="minorHAnsi"/>
          <w:sz w:val="22"/>
          <w:szCs w:val="22"/>
          <w:lang w:val="en-US"/>
        </w:rPr>
        <w:t xml:space="preserve">myriad </w:t>
      </w:r>
      <w:r w:rsidRPr="00272136">
        <w:rPr>
          <w:rFonts w:asciiTheme="minorHAnsi" w:hAnsiTheme="minorHAnsi" w:cstheme="minorHAnsi"/>
          <w:sz w:val="22"/>
          <w:szCs w:val="22"/>
          <w:lang w:val="en-US"/>
        </w:rPr>
        <w:t xml:space="preserve">challenges to democratic systems of government. </w:t>
      </w:r>
    </w:p>
    <w:p w14:paraId="14A855D7" w14:textId="1F8DCFF9" w:rsidR="005E6F1A" w:rsidRPr="00851557" w:rsidRDefault="00AC64F1" w:rsidP="007D7737">
      <w:pPr>
        <w:pStyle w:val="AnnualReporttext"/>
        <w:rPr>
          <w:rFonts w:asciiTheme="minorHAnsi" w:hAnsiTheme="minorHAnsi" w:cstheme="minorHAnsi"/>
          <w:sz w:val="22"/>
          <w:szCs w:val="22"/>
          <w:lang w:val="en-US"/>
        </w:rPr>
      </w:pPr>
      <w:r w:rsidRPr="00272136">
        <w:rPr>
          <w:rFonts w:asciiTheme="minorHAnsi" w:hAnsiTheme="minorHAnsi" w:cstheme="minorHAnsi"/>
          <w:sz w:val="22"/>
          <w:szCs w:val="22"/>
          <w:lang w:val="en-US"/>
        </w:rPr>
        <w:t xml:space="preserve">The right to access information has now </w:t>
      </w:r>
      <w:r w:rsidR="00ED386D" w:rsidRPr="00272136">
        <w:rPr>
          <w:rFonts w:asciiTheme="minorHAnsi" w:hAnsiTheme="minorHAnsi" w:cstheme="minorHAnsi"/>
          <w:sz w:val="22"/>
          <w:szCs w:val="22"/>
          <w:lang w:val="en-US"/>
        </w:rPr>
        <w:t>further developed in some states and territories where information access laws have evolved to mandate the disclosure of some government-held information.</w:t>
      </w:r>
      <w:r w:rsidR="00ED386D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7B7F3BBC" w14:textId="05BEB322" w:rsidR="00851557" w:rsidRPr="00851557" w:rsidRDefault="003C0865" w:rsidP="00851557">
      <w:r>
        <w:rPr>
          <w:iCs/>
          <w:lang w:val="en-US"/>
        </w:rPr>
        <w:t xml:space="preserve">As a result, these laws </w:t>
      </w:r>
      <w:r w:rsidR="00851557" w:rsidRPr="00851557">
        <w:rPr>
          <w:iCs/>
          <w:lang w:val="en-US"/>
        </w:rPr>
        <w:t>are considered one of the cornerstones of our respective democracies by ensuring a transpa</w:t>
      </w:r>
      <w:r w:rsidR="002B0DAD">
        <w:rPr>
          <w:iCs/>
          <w:lang w:val="en-US"/>
        </w:rPr>
        <w:t>rent and accountable government</w:t>
      </w:r>
      <w:r w:rsidR="00851557" w:rsidRPr="00851557">
        <w:rPr>
          <w:iCs/>
          <w:lang w:val="en-US"/>
        </w:rPr>
        <w:t xml:space="preserve"> and enabling participation by the public in the actions and decisions that might affect them.  </w:t>
      </w:r>
      <w:r w:rsidR="002B0DAD">
        <w:rPr>
          <w:iCs/>
          <w:lang w:val="en-US"/>
        </w:rPr>
        <w:t>This legislation makes sure</w:t>
      </w:r>
      <w:r w:rsidR="00851557" w:rsidRPr="00851557">
        <w:rPr>
          <w:iCs/>
        </w:rPr>
        <w:t xml:space="preserve"> our governments provide information</w:t>
      </w:r>
      <w:r w:rsidR="002B0DAD">
        <w:rPr>
          <w:iCs/>
        </w:rPr>
        <w:t xml:space="preserve"> about their plans</w:t>
      </w:r>
      <w:r w:rsidR="00851557" w:rsidRPr="00851557">
        <w:rPr>
          <w:iCs/>
        </w:rPr>
        <w:t>, activities and decisions</w:t>
      </w:r>
      <w:r w:rsidR="002B0DAD">
        <w:rPr>
          <w:iCs/>
        </w:rPr>
        <w:t xml:space="preserve"> in a timely manner</w:t>
      </w:r>
      <w:r w:rsidR="00851557" w:rsidRPr="00851557">
        <w:rPr>
          <w:iCs/>
        </w:rPr>
        <w:t xml:space="preserve">. </w:t>
      </w:r>
      <w:r w:rsidR="002B0DAD">
        <w:rPr>
          <w:bCs/>
          <w:iCs/>
        </w:rPr>
        <w:t>The laws</w:t>
      </w:r>
      <w:r w:rsidR="00851557" w:rsidRPr="00851557">
        <w:rPr>
          <w:bCs/>
          <w:iCs/>
        </w:rPr>
        <w:t xml:space="preserve"> also enable individuals and body corporates to seek access</w:t>
      </w:r>
      <w:r>
        <w:rPr>
          <w:bCs/>
          <w:iCs/>
        </w:rPr>
        <w:t xml:space="preserve"> to</w:t>
      </w:r>
      <w:r w:rsidR="00851557" w:rsidRPr="00851557">
        <w:rPr>
          <w:bCs/>
          <w:iCs/>
        </w:rPr>
        <w:t xml:space="preserve"> their personal information held by government.</w:t>
      </w:r>
    </w:p>
    <w:p w14:paraId="1B97A758" w14:textId="77777777" w:rsidR="007D7737" w:rsidRPr="00851557" w:rsidRDefault="00A7083E" w:rsidP="007D7737">
      <w:pPr>
        <w:pStyle w:val="AnnualReporttext"/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This more </w:t>
      </w:r>
      <w:r w:rsidR="007532C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transparent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regime </w:t>
      </w:r>
      <w:r w:rsidR="00CD7ED7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has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helped </w:t>
      </w:r>
      <w:r w:rsidR="00CD7ED7" w:rsidRPr="00851557">
        <w:rPr>
          <w:rFonts w:asciiTheme="minorHAnsi" w:hAnsiTheme="minorHAnsi" w:cstheme="minorHAnsi"/>
          <w:sz w:val="22"/>
          <w:szCs w:val="22"/>
          <w:lang w:val="en-US"/>
        </w:rPr>
        <w:t>heighten,</w:t>
      </w:r>
      <w:r w:rsidR="007532C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rather than </w:t>
      </w:r>
      <w:r w:rsidR="00CD7ED7" w:rsidRPr="00851557">
        <w:rPr>
          <w:rFonts w:asciiTheme="minorHAnsi" w:hAnsiTheme="minorHAnsi" w:cstheme="minorHAnsi"/>
          <w:sz w:val="22"/>
          <w:szCs w:val="22"/>
          <w:lang w:val="en-US"/>
        </w:rPr>
        <w:t>diminish, public trust</w:t>
      </w:r>
      <w:r w:rsidR="00C477A7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in government</w:t>
      </w:r>
      <w:r w:rsidR="007532C6" w:rsidRPr="0085155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3FB8BE6" w14:textId="77777777" w:rsidR="00580C0E" w:rsidRPr="00851557" w:rsidRDefault="00A31343" w:rsidP="00206C7B">
      <w:pPr>
        <w:pStyle w:val="AnnualReporttext"/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>Members</w:t>
      </w:r>
      <w:r w:rsidR="00AA7BA0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noted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that </w:t>
      </w:r>
      <w:r w:rsidR="00CC43BC" w:rsidRPr="00851557">
        <w:rPr>
          <w:rFonts w:asciiTheme="minorHAnsi" w:hAnsiTheme="minorHAnsi" w:cstheme="minorHAnsi"/>
          <w:sz w:val="22"/>
          <w:szCs w:val="22"/>
          <w:lang w:val="en-US"/>
        </w:rPr>
        <w:t>for</w:t>
      </w:r>
      <w:r w:rsidR="00AA7BA0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information access </w:t>
      </w:r>
      <w:r w:rsidR="00F64660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="00B15483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properly </w:t>
      </w:r>
      <w:r w:rsidR="00F64660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support </w:t>
      </w:r>
      <w:r w:rsidR="00B55E1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and encourage </w:t>
      </w:r>
      <w:r w:rsidR="00FA2B6A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trust, confidence and </w:t>
      </w:r>
      <w:r w:rsidR="00F64660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integrity in </w:t>
      </w:r>
      <w:r w:rsidR="00FA2B6A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the actions and decisions of </w:t>
      </w:r>
      <w:r w:rsidR="00F64660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government </w:t>
      </w:r>
      <w:r w:rsidR="00CC43BC" w:rsidRPr="00851557">
        <w:rPr>
          <w:rFonts w:asciiTheme="minorHAnsi" w:hAnsiTheme="minorHAnsi" w:cstheme="minorHAnsi"/>
          <w:sz w:val="22"/>
          <w:szCs w:val="22"/>
          <w:lang w:val="en-US"/>
        </w:rPr>
        <w:t>in the 21</w:t>
      </w:r>
      <w:r w:rsidR="00CC43BC" w:rsidRPr="0085155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="00CC43BC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century, agencies need to</w:t>
      </w:r>
      <w:r w:rsidR="00B55E1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continue to</w:t>
      </w:r>
      <w:r w:rsidR="00CC43BC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F1AF2" w:rsidRPr="00851557">
        <w:rPr>
          <w:rFonts w:asciiTheme="minorHAnsi" w:hAnsiTheme="minorHAnsi" w:cstheme="minorHAnsi"/>
          <w:sz w:val="22"/>
          <w:szCs w:val="22"/>
          <w:lang w:val="en-US"/>
        </w:rPr>
        <w:t>build strong culture</w:t>
      </w:r>
      <w:r w:rsidR="0012363B" w:rsidRPr="0085155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7F1AF2" w:rsidRPr="00851557">
        <w:rPr>
          <w:rFonts w:asciiTheme="minorHAnsi" w:hAnsiTheme="minorHAnsi" w:cstheme="minorHAnsi"/>
          <w:sz w:val="22"/>
          <w:szCs w:val="22"/>
          <w:lang w:val="en-US"/>
        </w:rPr>
        <w:t>, systems and practices around both information management and record-keeping.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 This includes:</w:t>
      </w:r>
    </w:p>
    <w:p w14:paraId="0432C17D" w14:textId="77777777" w:rsidR="00B55E16" w:rsidRPr="00851557" w:rsidRDefault="0012363B" w:rsidP="00B55E16">
      <w:pPr>
        <w:pStyle w:val="AnnualRepor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ensuring 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a decision on a request is made and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information is</w:t>
      </w:r>
      <w:r w:rsidR="00B55E1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provided as soon as practicably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possible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2A357E1A" w14:textId="77777777" w:rsidR="00B55E16" w:rsidRPr="00851557" w:rsidRDefault="00BB619B" w:rsidP="00B55E16">
      <w:pPr>
        <w:pStyle w:val="AnnualRepor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>being increasingly proactive in p</w:t>
      </w:r>
      <w:r w:rsidR="0012363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roviding information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so that </w:t>
      </w:r>
      <w:r w:rsidR="00B55E16" w:rsidRPr="00851557">
        <w:rPr>
          <w:rFonts w:asciiTheme="minorHAnsi" w:hAnsiTheme="minorHAnsi" w:cstheme="minorHAnsi"/>
          <w:sz w:val="22"/>
          <w:szCs w:val="22"/>
          <w:lang w:val="en-US"/>
        </w:rPr>
        <w:t>requesters do not need to go through lengthy formal</w:t>
      </w:r>
      <w:r w:rsidR="00C477A7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legislative </w:t>
      </w:r>
      <w:r w:rsidR="00B55E1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processes to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obtain </w:t>
      </w:r>
      <w:r w:rsidR="00B55E1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access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="00B55E16" w:rsidRPr="00851557">
        <w:rPr>
          <w:rFonts w:asciiTheme="minorHAnsi" w:hAnsiTheme="minorHAnsi" w:cstheme="minorHAnsi"/>
          <w:sz w:val="22"/>
          <w:szCs w:val="22"/>
          <w:lang w:val="en-US"/>
        </w:rPr>
        <w:t>information</w:t>
      </w:r>
    </w:p>
    <w:p w14:paraId="61336CEE" w14:textId="77777777" w:rsidR="00B55E16" w:rsidRPr="00851557" w:rsidRDefault="00BB619B" w:rsidP="00B55E16">
      <w:pPr>
        <w:pStyle w:val="AnnualRepor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embracing or re-affirming ‘open by design’ systems </w:t>
      </w:r>
      <w:r w:rsidR="00CC43BC" w:rsidRPr="00851557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4E2539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hat will </w:t>
      </w:r>
      <w:r w:rsidR="00206C7B" w:rsidRPr="00851557">
        <w:rPr>
          <w:rFonts w:asciiTheme="minorHAnsi" w:hAnsiTheme="minorHAnsi" w:cstheme="minorHAnsi"/>
          <w:sz w:val="22"/>
          <w:szCs w:val="22"/>
          <w:lang w:val="en-US"/>
        </w:rPr>
        <w:t>better support</w:t>
      </w:r>
      <w:r w:rsidR="00CC43BC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access to information</w:t>
      </w:r>
      <w:r w:rsidR="002C411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2C4116" w:rsidRPr="00851557">
        <w:rPr>
          <w:rFonts w:asciiTheme="minorHAnsi" w:hAnsiTheme="minorHAnsi" w:cstheme="minorHAnsi"/>
          <w:sz w:val="22"/>
          <w:szCs w:val="22"/>
          <w:lang w:val="en-US"/>
        </w:rPr>
        <w:t>particularly digital information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>) and reduce the overall compliance transaction costs for agencies</w:t>
      </w:r>
      <w:r w:rsidR="00CC43BC" w:rsidRPr="00851557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55E16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CE6DD3A" w14:textId="6CE394FD" w:rsidR="007D7737" w:rsidRPr="00851557" w:rsidRDefault="007F1AF2" w:rsidP="00206C7B">
      <w:pPr>
        <w:pStyle w:val="AnnualReporttext"/>
        <w:rPr>
          <w:rFonts w:asciiTheme="minorHAnsi" w:hAnsiTheme="minorHAnsi" w:cstheme="minorHAnsi"/>
          <w:sz w:val="22"/>
          <w:szCs w:val="22"/>
          <w:lang w:val="en-US"/>
        </w:rPr>
      </w:pP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Finally, 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members </w:t>
      </w:r>
      <w:r w:rsidR="002B7B8B" w:rsidRPr="00851557">
        <w:rPr>
          <w:rFonts w:asciiTheme="minorHAnsi" w:hAnsiTheme="minorHAnsi" w:cstheme="minorHAnsi"/>
          <w:sz w:val="22"/>
          <w:szCs w:val="22"/>
          <w:lang w:val="en-US"/>
        </w:rPr>
        <w:t>observed that</w:t>
      </w:r>
      <w:r w:rsidR="00206C7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in the interests of strengthening our own and other democracies, 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there </w:t>
      </w:r>
      <w:r w:rsidR="004E2539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were 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opportunities for engagement </w:t>
      </w:r>
      <w:r w:rsidR="004E2539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with 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and learning </w:t>
      </w:r>
      <w:r w:rsidR="004E2539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from our </w:t>
      </w:r>
      <w:proofErr w:type="spellStart"/>
      <w:r w:rsidR="004E2539" w:rsidRPr="00851557">
        <w:rPr>
          <w:rFonts w:asciiTheme="minorHAnsi" w:hAnsiTheme="minorHAnsi" w:cstheme="minorHAnsi"/>
          <w:sz w:val="22"/>
          <w:szCs w:val="22"/>
          <w:lang w:val="en-US"/>
        </w:rPr>
        <w:t>neighbours</w:t>
      </w:r>
      <w:proofErr w:type="spellEnd"/>
      <w:r w:rsidR="004E2539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in the Asia-Pacific </w:t>
      </w:r>
      <w:r w:rsidR="002B0DAD">
        <w:rPr>
          <w:rFonts w:asciiTheme="minorHAnsi" w:hAnsiTheme="minorHAnsi" w:cstheme="minorHAnsi"/>
          <w:sz w:val="22"/>
          <w:szCs w:val="22"/>
          <w:lang w:val="en-US"/>
        </w:rPr>
        <w:lastRenderedPageBreak/>
        <w:t>region</w:t>
      </w:r>
      <w:r w:rsidR="004E2539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on </w:t>
      </w:r>
      <w:r w:rsidR="00BB619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information access issues.  Members </w:t>
      </w:r>
      <w:r w:rsidR="00206C7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welcome these opportunities and will work towards effective international engagement </w:t>
      </w:r>
      <w:r w:rsidR="004E2539" w:rsidRPr="00851557">
        <w:rPr>
          <w:rFonts w:asciiTheme="minorHAnsi" w:hAnsiTheme="minorHAnsi" w:cstheme="minorHAnsi"/>
          <w:sz w:val="22"/>
          <w:szCs w:val="22"/>
          <w:lang w:val="en-US"/>
        </w:rPr>
        <w:t>in 2023</w:t>
      </w:r>
      <w:r w:rsidR="00206C7B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.  </w:t>
      </w:r>
      <w:r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A7BA0" w:rsidRPr="0085155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FC1A9BA" w14:textId="77777777" w:rsidR="007D7737" w:rsidRPr="00851557" w:rsidRDefault="007D7737" w:rsidP="00F64660">
      <w:pPr>
        <w:pStyle w:val="ARHeading5"/>
        <w:rPr>
          <w:sz w:val="22"/>
          <w:szCs w:val="22"/>
        </w:rPr>
      </w:pPr>
      <w:r w:rsidRPr="00851557">
        <w:rPr>
          <w:sz w:val="22"/>
          <w:szCs w:val="22"/>
        </w:rPr>
        <w:t xml:space="preserve"> </w:t>
      </w:r>
    </w:p>
    <w:p w14:paraId="13990C21" w14:textId="77777777" w:rsidR="007D7737" w:rsidRDefault="007D7737"/>
    <w:sectPr w:rsidR="007D7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6D46" w14:textId="77777777" w:rsidR="00A567B1" w:rsidRDefault="00A567B1" w:rsidP="00A567B1">
      <w:pPr>
        <w:spacing w:after="0" w:line="240" w:lineRule="auto"/>
      </w:pPr>
      <w:r>
        <w:separator/>
      </w:r>
    </w:p>
  </w:endnote>
  <w:endnote w:type="continuationSeparator" w:id="0">
    <w:p w14:paraId="7496C17B" w14:textId="77777777" w:rsidR="00A567B1" w:rsidRDefault="00A567B1" w:rsidP="00A5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AE77" w14:textId="77777777" w:rsidR="00A567B1" w:rsidRDefault="00A567B1" w:rsidP="00A567B1">
      <w:pPr>
        <w:spacing w:after="0" w:line="240" w:lineRule="auto"/>
      </w:pPr>
      <w:r>
        <w:separator/>
      </w:r>
    </w:p>
  </w:footnote>
  <w:footnote w:type="continuationSeparator" w:id="0">
    <w:p w14:paraId="131670C1" w14:textId="77777777" w:rsidR="00A567B1" w:rsidRDefault="00A567B1" w:rsidP="00A5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CE5"/>
    <w:multiLevelType w:val="hybridMultilevel"/>
    <w:tmpl w:val="8892AE62"/>
    <w:lvl w:ilvl="0" w:tplc="1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76A26424"/>
    <w:multiLevelType w:val="multilevel"/>
    <w:tmpl w:val="15A022C6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pStyle w:val="Bullet3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D2"/>
    <w:rsid w:val="00031ED2"/>
    <w:rsid w:val="000A76A8"/>
    <w:rsid w:val="0012363B"/>
    <w:rsid w:val="00187A5A"/>
    <w:rsid w:val="001C5424"/>
    <w:rsid w:val="001E6ABA"/>
    <w:rsid w:val="00206C7B"/>
    <w:rsid w:val="00252121"/>
    <w:rsid w:val="002578C1"/>
    <w:rsid w:val="00272136"/>
    <w:rsid w:val="002B0DAD"/>
    <w:rsid w:val="002B7B8B"/>
    <w:rsid w:val="002C4116"/>
    <w:rsid w:val="002E7580"/>
    <w:rsid w:val="00302925"/>
    <w:rsid w:val="00313448"/>
    <w:rsid w:val="00333749"/>
    <w:rsid w:val="003C0865"/>
    <w:rsid w:val="003E5445"/>
    <w:rsid w:val="004A6718"/>
    <w:rsid w:val="004B1718"/>
    <w:rsid w:val="004E2539"/>
    <w:rsid w:val="004F608B"/>
    <w:rsid w:val="00570DB9"/>
    <w:rsid w:val="00580C0E"/>
    <w:rsid w:val="005E6F1A"/>
    <w:rsid w:val="00630DBF"/>
    <w:rsid w:val="00673E51"/>
    <w:rsid w:val="00696FAB"/>
    <w:rsid w:val="006B1DC1"/>
    <w:rsid w:val="00742702"/>
    <w:rsid w:val="00750DFD"/>
    <w:rsid w:val="007532C6"/>
    <w:rsid w:val="007D7737"/>
    <w:rsid w:val="007F1AF2"/>
    <w:rsid w:val="00851557"/>
    <w:rsid w:val="009B3A85"/>
    <w:rsid w:val="00A31343"/>
    <w:rsid w:val="00A55638"/>
    <w:rsid w:val="00A55F2B"/>
    <w:rsid w:val="00A567B1"/>
    <w:rsid w:val="00A7083E"/>
    <w:rsid w:val="00AA7BA0"/>
    <w:rsid w:val="00AC64F1"/>
    <w:rsid w:val="00B15483"/>
    <w:rsid w:val="00B55E16"/>
    <w:rsid w:val="00BB17CC"/>
    <w:rsid w:val="00BB619B"/>
    <w:rsid w:val="00C20CBA"/>
    <w:rsid w:val="00C477A7"/>
    <w:rsid w:val="00C8101A"/>
    <w:rsid w:val="00CC43BC"/>
    <w:rsid w:val="00CD7ED7"/>
    <w:rsid w:val="00D912F4"/>
    <w:rsid w:val="00E065EF"/>
    <w:rsid w:val="00E632D5"/>
    <w:rsid w:val="00ED386D"/>
    <w:rsid w:val="00F64660"/>
    <w:rsid w:val="00F8111D"/>
    <w:rsid w:val="00FA2B6A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B04FE"/>
  <w15:chartTrackingRefBased/>
  <w15:docId w15:val="{58D1E9B1-537D-4D70-B0BA-01D66316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ext">
    <w:name w:val="AR text"/>
    <w:basedOn w:val="Normal"/>
    <w:link w:val="ARtextChar"/>
    <w:qFormat/>
    <w:rsid w:val="007D7737"/>
    <w:pPr>
      <w:spacing w:before="160" w:line="264" w:lineRule="auto"/>
    </w:pPr>
    <w:rPr>
      <w:rFonts w:ascii="Arial" w:eastAsia="Times New Roman" w:hAnsi="Arial" w:cs="Arial"/>
      <w:color w:val="7F7F7F" w:themeColor="text1" w:themeTint="80"/>
      <w:sz w:val="28"/>
      <w:szCs w:val="28"/>
      <w:lang w:eastAsia="en-AU"/>
    </w:rPr>
  </w:style>
  <w:style w:type="character" w:customStyle="1" w:styleId="ARtextChar">
    <w:name w:val="AR text Char"/>
    <w:basedOn w:val="DefaultParagraphFont"/>
    <w:link w:val="ARtext"/>
    <w:rsid w:val="007D7737"/>
    <w:rPr>
      <w:rFonts w:ascii="Arial" w:eastAsia="Times New Roman" w:hAnsi="Arial" w:cs="Arial"/>
      <w:color w:val="7F7F7F" w:themeColor="text1" w:themeTint="80"/>
      <w:sz w:val="28"/>
      <w:szCs w:val="28"/>
      <w:lang w:eastAsia="en-AU"/>
    </w:rPr>
  </w:style>
  <w:style w:type="paragraph" w:customStyle="1" w:styleId="AnnualReporttext">
    <w:name w:val="Annual Report text"/>
    <w:basedOn w:val="Normal"/>
    <w:qFormat/>
    <w:rsid w:val="007D7737"/>
    <w:pPr>
      <w:spacing w:before="160" w:line="264" w:lineRule="auto"/>
    </w:pPr>
    <w:rPr>
      <w:rFonts w:ascii="Arial" w:eastAsiaTheme="minorEastAsia" w:hAnsi="Arial" w:cs="Arial"/>
      <w:sz w:val="24"/>
      <w:szCs w:val="24"/>
      <w:lang w:eastAsia="en-AU"/>
    </w:rPr>
  </w:style>
  <w:style w:type="paragraph" w:customStyle="1" w:styleId="ARheading1">
    <w:name w:val="AR heading 1"/>
    <w:basedOn w:val="Normal"/>
    <w:link w:val="ARheading1Char"/>
    <w:qFormat/>
    <w:rsid w:val="007D7737"/>
    <w:pPr>
      <w:spacing w:before="160" w:line="264" w:lineRule="auto"/>
    </w:pPr>
    <w:rPr>
      <w:rFonts w:ascii="Arial" w:eastAsia="Times New Roman" w:hAnsi="Arial" w:cs="Arial"/>
      <w:b/>
      <w:color w:val="3579BB"/>
      <w:sz w:val="36"/>
      <w:szCs w:val="36"/>
      <w:lang w:eastAsia="en-AU"/>
    </w:rPr>
  </w:style>
  <w:style w:type="character" w:customStyle="1" w:styleId="ARheading1Char">
    <w:name w:val="AR heading 1 Char"/>
    <w:basedOn w:val="DefaultParagraphFont"/>
    <w:link w:val="ARheading1"/>
    <w:rsid w:val="007D7737"/>
    <w:rPr>
      <w:rFonts w:ascii="Arial" w:eastAsia="Times New Roman" w:hAnsi="Arial" w:cs="Arial"/>
      <w:b/>
      <w:color w:val="3579BB"/>
      <w:sz w:val="36"/>
      <w:szCs w:val="36"/>
      <w:lang w:eastAsia="en-AU"/>
    </w:rPr>
  </w:style>
  <w:style w:type="paragraph" w:customStyle="1" w:styleId="ARHeading5">
    <w:name w:val="AR Heading 5"/>
    <w:basedOn w:val="Normal"/>
    <w:link w:val="ARHeading5Char"/>
    <w:qFormat/>
    <w:rsid w:val="007D7737"/>
    <w:pPr>
      <w:spacing w:before="160" w:line="264" w:lineRule="auto"/>
    </w:pPr>
    <w:rPr>
      <w:rFonts w:ascii="Arial" w:hAnsi="Arial" w:cs="Arial"/>
      <w:b/>
      <w:bCs/>
      <w:color w:val="808080" w:themeColor="background1" w:themeShade="80"/>
      <w:sz w:val="24"/>
      <w:szCs w:val="24"/>
      <w:u w:val="single"/>
      <w:lang w:val="en-US"/>
    </w:rPr>
  </w:style>
  <w:style w:type="character" w:customStyle="1" w:styleId="ARHeading5Char">
    <w:name w:val="AR Heading 5 Char"/>
    <w:basedOn w:val="DefaultParagraphFont"/>
    <w:link w:val="ARHeading5"/>
    <w:locked/>
    <w:rsid w:val="007D7737"/>
    <w:rPr>
      <w:rFonts w:ascii="Arial" w:hAnsi="Arial" w:cs="Arial"/>
      <w:b/>
      <w:bCs/>
      <w:color w:val="808080" w:themeColor="background1" w:themeShade="80"/>
      <w:sz w:val="24"/>
      <w:szCs w:val="24"/>
      <w:u w:val="single"/>
      <w:lang w:val="en-US"/>
    </w:rPr>
  </w:style>
  <w:style w:type="paragraph" w:customStyle="1" w:styleId="ARheading2">
    <w:name w:val="AR heading 2"/>
    <w:basedOn w:val="ARheading1"/>
    <w:link w:val="ARheading2Char"/>
    <w:qFormat/>
    <w:rsid w:val="007D7737"/>
    <w:rPr>
      <w:i/>
      <w:color w:val="7F7F7F" w:themeColor="text1" w:themeTint="80"/>
      <w:sz w:val="28"/>
      <w:szCs w:val="28"/>
    </w:rPr>
  </w:style>
  <w:style w:type="character" w:customStyle="1" w:styleId="ARheading2Char">
    <w:name w:val="AR heading 2 Char"/>
    <w:basedOn w:val="ARheading1Char"/>
    <w:link w:val="ARheading2"/>
    <w:rsid w:val="007D7737"/>
    <w:rPr>
      <w:rFonts w:ascii="Arial" w:eastAsia="Times New Roman" w:hAnsi="Arial" w:cs="Arial"/>
      <w:b/>
      <w:i/>
      <w:color w:val="7F7F7F" w:themeColor="text1" w:themeTint="80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7D7737"/>
    <w:rPr>
      <w:color w:val="3579BB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483"/>
    <w:rPr>
      <w:color w:val="954F72" w:themeColor="followedHyperlink"/>
      <w:u w:val="single"/>
    </w:rPr>
  </w:style>
  <w:style w:type="character" w:customStyle="1" w:styleId="ltkoo">
    <w:name w:val="ltkoo"/>
    <w:basedOn w:val="DefaultParagraphFont"/>
    <w:rsid w:val="00187A5A"/>
  </w:style>
  <w:style w:type="paragraph" w:styleId="ListParagraph">
    <w:name w:val="List Paragraph"/>
    <w:basedOn w:val="Normal"/>
    <w:uiPriority w:val="34"/>
    <w:qFormat/>
    <w:rsid w:val="00333749"/>
    <w:pPr>
      <w:ind w:left="720"/>
      <w:contextualSpacing/>
    </w:pPr>
  </w:style>
  <w:style w:type="paragraph" w:customStyle="1" w:styleId="ng-binding">
    <w:name w:val="ng-binding"/>
    <w:basedOn w:val="Normal"/>
    <w:rsid w:val="007427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NZ" w:eastAsia="en-NZ"/>
    </w:rPr>
  </w:style>
  <w:style w:type="paragraph" w:customStyle="1" w:styleId="Bullet1">
    <w:name w:val="Bullet 1"/>
    <w:basedOn w:val="Normal"/>
    <w:uiPriority w:val="2"/>
    <w:rsid w:val="00742702"/>
    <w:pPr>
      <w:numPr>
        <w:numId w:val="2"/>
      </w:numPr>
      <w:spacing w:line="300" w:lineRule="atLeast"/>
    </w:pPr>
    <w:rPr>
      <w:rFonts w:ascii="Calibri" w:hAnsi="Calibri"/>
      <w:color w:val="1E1E1E"/>
      <w:sz w:val="24"/>
      <w:lang w:val="en-NZ"/>
    </w:rPr>
  </w:style>
  <w:style w:type="paragraph" w:customStyle="1" w:styleId="Bullet2">
    <w:name w:val="Bullet 2"/>
    <w:basedOn w:val="Normal"/>
    <w:uiPriority w:val="2"/>
    <w:rsid w:val="00742702"/>
    <w:pPr>
      <w:numPr>
        <w:ilvl w:val="1"/>
        <w:numId w:val="2"/>
      </w:numPr>
      <w:spacing w:line="300" w:lineRule="atLeast"/>
    </w:pPr>
    <w:rPr>
      <w:rFonts w:ascii="Calibri" w:hAnsi="Calibri"/>
      <w:color w:val="1E1E1E"/>
      <w:sz w:val="24"/>
      <w:lang w:val="en-NZ"/>
    </w:rPr>
  </w:style>
  <w:style w:type="paragraph" w:customStyle="1" w:styleId="Bullet3">
    <w:name w:val="Bullet 3"/>
    <w:basedOn w:val="Normal"/>
    <w:uiPriority w:val="2"/>
    <w:rsid w:val="00742702"/>
    <w:pPr>
      <w:numPr>
        <w:ilvl w:val="2"/>
        <w:numId w:val="2"/>
      </w:numPr>
      <w:spacing w:line="300" w:lineRule="atLeast"/>
    </w:pPr>
    <w:rPr>
      <w:rFonts w:ascii="Calibri" w:hAnsi="Calibri"/>
      <w:color w:val="1E1E1E"/>
      <w:sz w:val="24"/>
      <w:lang w:val="en-NZ"/>
    </w:rPr>
  </w:style>
  <w:style w:type="paragraph" w:customStyle="1" w:styleId="Bullet4">
    <w:name w:val="Bullet 4"/>
    <w:basedOn w:val="Normal"/>
    <w:uiPriority w:val="2"/>
    <w:rsid w:val="00742702"/>
    <w:pPr>
      <w:numPr>
        <w:ilvl w:val="3"/>
        <w:numId w:val="2"/>
      </w:numPr>
      <w:spacing w:line="300" w:lineRule="atLeast"/>
    </w:pPr>
    <w:rPr>
      <w:rFonts w:ascii="Calibri" w:hAnsi="Calibri"/>
      <w:color w:val="1E1E1E"/>
      <w:sz w:val="2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C07B-7F63-410B-A703-42C013C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Association of Information Access Commissioners (AIAC) of Australia and New Zealand</dc:title>
  <dc:subject/>
  <dc:creator>Catherine.Fletcher</dc:creator>
  <cp:keywords>AIAC, open government, information commissioner, access, right to information</cp:keywords>
  <dc:description/>
  <cp:lastModifiedBy>Steven Haigh</cp:lastModifiedBy>
  <cp:revision>4</cp:revision>
  <cp:lastPrinted>2022-12-18T19:46:00Z</cp:lastPrinted>
  <dcterms:created xsi:type="dcterms:W3CDTF">2022-12-20T07:03:00Z</dcterms:created>
  <dcterms:modified xsi:type="dcterms:W3CDTF">2022-12-20T21:44:00Z</dcterms:modified>
</cp:coreProperties>
</file>